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521EF7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521EF7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521EF7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521EF7">
      <w:pPr>
        <w:pStyle w:val="berschrift2ausgeklappt"/>
      </w:pPr>
      <w:r w:rsidRPr="00B9047D">
        <w:t>Bildungsinstitutionen und Betreuung</w:t>
      </w:r>
    </w:p>
    <w:p w14:paraId="5AF00C65" w14:textId="082D6610" w:rsidR="00F5591D" w:rsidRDefault="005B5133" w:rsidP="006667FC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50B11634" w14:textId="044A1CC1" w:rsidR="007866A4" w:rsidRDefault="007866A4" w:rsidP="00521EF7">
      <w:pPr>
        <w:pStyle w:val="berschrift2ausgeklappt"/>
      </w:pPr>
      <w:r>
        <w:t>Diagnostische Fragestellung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66A4" w:rsidRPr="00B9047D" w14:paraId="6B0C1485" w14:textId="77777777" w:rsidTr="006524D3">
        <w:trPr>
          <w:trHeight w:val="167"/>
        </w:trPr>
        <w:tc>
          <w:tcPr>
            <w:tcW w:w="9918" w:type="dxa"/>
            <w:shd w:val="clear" w:color="auto" w:fill="auto"/>
          </w:tcPr>
          <w:p w14:paraId="3448E1D2" w14:textId="77777777" w:rsidR="007866A4" w:rsidRPr="00B9047D" w:rsidRDefault="007866A4" w:rsidP="004C6A60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384082">
      <w:pPr>
        <w:pStyle w:val="berschrift2ausgeklappt"/>
      </w:pPr>
      <w:r>
        <w:lastRenderedPageBreak/>
        <w:t>Hinweise zur Auswahl der Entwicklungsstufen</w:t>
      </w:r>
    </w:p>
    <w:p w14:paraId="4830F29E" w14:textId="585CCBF8" w:rsidR="0038408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</w:t>
      </w:r>
      <w:r w:rsidR="00A46A5A">
        <w:t xml:space="preserve">oder </w:t>
      </w:r>
      <w:r w:rsidR="00A46A5A">
        <w:t>F)</w:t>
      </w:r>
      <w:r w:rsidR="00A46A5A">
        <w:t xml:space="preserve">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</w:p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Einzelinformationen auf einem oder mehreren Bildern </w:t>
            </w:r>
            <w:proofErr w:type="gramStart"/>
            <w:r>
              <w:t>sequentiell</w:t>
            </w:r>
            <w:proofErr w:type="gramEnd"/>
            <w:r>
              <w:t xml:space="preserve">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51B8A35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b.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(i. w. S.)?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2B4932EA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CD3927">
              <w:t>(</w:t>
            </w:r>
            <w:r w:rsidR="00950C1F">
              <w:t>b</w:t>
            </w:r>
            <w:r w:rsidR="00CD3927">
              <w:t xml:space="preserve">ei DGS: inklusive </w:t>
            </w:r>
            <w:r w:rsidRPr="00CD3927"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Welcher Leselehrgang wird/wurde verwendet (Fibel-Lehrgang, Ganzwort-, Silben-Lehrgang, Lesen durch Schreiben, </w:t>
            </w:r>
            <w:proofErr w:type="gramStart"/>
            <w:r>
              <w:t>Eigenfibel,...</w:t>
            </w:r>
            <w:proofErr w:type="gramEnd"/>
            <w:r>
              <w:t>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47CAB8CD" w:rsidR="00F83C70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Fingeralphabet eingesetzt?</w:t>
            </w:r>
          </w:p>
          <w:p w14:paraId="6410D729" w14:textId="447E0F7F" w:rsidR="000031CE" w:rsidRPr="00EE4FB5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47E43819" w:rsidR="004419E0" w:rsidRDefault="002D21DE" w:rsidP="004419E0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4419E0">
              <w:t>ei DGS: alternativ / ergänzend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7D93757B" w:rsidR="004419E0" w:rsidRDefault="004D7CE6" w:rsidP="004419E0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4419E0">
              <w:t>ei DGS: alternativ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Beim Schreiben </w:t>
            </w:r>
            <w:proofErr w:type="gramStart"/>
            <w:r>
              <w:t>lautieren(</w:t>
            </w:r>
            <w:proofErr w:type="gramEnd"/>
            <w:r>
              <w:t>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proofErr w:type="gramStart"/>
            <w:r>
              <w:t>Frei schreiben</w:t>
            </w:r>
            <w:proofErr w:type="gramEnd"/>
            <w:r>
              <w:t xml:space="preserve">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76940CC4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 Werden/wurden diese im Hinblick auf mögliche Ursachen analysiert? (bei DGS: 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Welcher Leselehrgang wird/wurde verwendet (Fibel-Lehrgang, Ganzwort-, Silben-Lehrgang, Lesen durch Schreiben, </w:t>
            </w:r>
            <w:proofErr w:type="gramStart"/>
            <w:r>
              <w:t>Eigenfibel,...</w:t>
            </w:r>
            <w:proofErr w:type="gramEnd"/>
            <w:r>
              <w:t>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46A13F93" w:rsidR="00A16FE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Fingeralphabet eingesetzt?</w:t>
            </w:r>
          </w:p>
          <w:p w14:paraId="796DE710" w14:textId="22CA0CC7" w:rsidR="00A16FE5" w:rsidRPr="00EE4FB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5798E382" w:rsidR="00BB4170" w:rsidRDefault="00A142E4" w:rsidP="00180E1F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BB4170">
              <w:t>ei DGS: Nutzung des Fingeralphabets und des Mundbildes als entscheidende Dekodierungsstrategie)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472A0D0B" w:rsidR="00BB4170" w:rsidRPr="003D4AAC" w:rsidRDefault="00A142E4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3D4AAC" w:rsidRPr="003D4AAC">
              <w:rPr>
                <w:color w:val="auto"/>
              </w:rPr>
              <w:t xml:space="preserve">ei DGS: </w:t>
            </w:r>
            <w:r w:rsidR="00BB4170" w:rsidRPr="003D4AAC">
              <w:rPr>
                <w:color w:val="auto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36F08402" w:rsidR="00920C50" w:rsidRDefault="00A142E4" w:rsidP="00661514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920C50">
              <w:t>ei DGS: z.B. 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AC295EA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Fingeralphabet eingesetzt?</w:t>
            </w:r>
          </w:p>
          <w:p w14:paraId="523BD6AF" w14:textId="595F2BF3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Mundbild angeboten?</w:t>
            </w:r>
          </w:p>
          <w:p w14:paraId="49F8C031" w14:textId="22010FE4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32769F11" w:rsidR="00E2125E" w:rsidRDefault="0055321C" w:rsidP="00E2125E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EE60FA">
              <w:t xml:space="preserve">ei DGS: </w:t>
            </w:r>
            <w:r w:rsidR="00E2125E"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Regelmäßigkeiten der Sprache erkennen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30BEC7AF" w:rsidR="00EE60FA" w:rsidRPr="00EE60FA" w:rsidRDefault="0055321C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EE60FA">
              <w:rPr>
                <w:color w:val="auto"/>
              </w:rPr>
              <w:t xml:space="preserve">ei DGS: </w:t>
            </w:r>
            <w:r w:rsidR="00EE60FA" w:rsidRPr="00EE60FA">
              <w:rPr>
                <w:color w:val="auto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6BA5BE7C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Sätze und Satzteile über Kohäsionsmittel (sprachliche Mittel) korrekt verknüpfen (z.B.: weil, </w:t>
            </w:r>
            <w:proofErr w:type="gramStart"/>
            <w:r w:rsidRPr="004D3A16">
              <w:rPr>
                <w:color w:val="auto"/>
              </w:rPr>
              <w:t>davor,…</w:t>
            </w:r>
            <w:proofErr w:type="gramEnd"/>
            <w:r w:rsidRPr="004D3A16">
              <w:rPr>
                <w:color w:val="auto"/>
              </w:rPr>
              <w:t>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3539A0">
      <w:pPr>
        <w:pStyle w:val="berschrift2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533E2B54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Fingeralphabet eingesetzt?</w:t>
            </w:r>
          </w:p>
          <w:p w14:paraId="5A93BE1A" w14:textId="11899C18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Mundbild angeboten?</w:t>
            </w:r>
          </w:p>
          <w:p w14:paraId="70F0DE75" w14:textId="615C038D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BA42" w14:textId="77777777" w:rsidR="00AC503A" w:rsidRDefault="00AC503A" w:rsidP="00D519E2">
      <w:r>
        <w:separator/>
      </w:r>
    </w:p>
  </w:endnote>
  <w:endnote w:type="continuationSeparator" w:id="0">
    <w:p w14:paraId="764E4892" w14:textId="77777777" w:rsidR="00AC503A" w:rsidRDefault="00AC503A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18AEF729" w:rsidR="003E78C8" w:rsidRPr="006738B3" w:rsidRDefault="005725C1" w:rsidP="003E78C8">
          <w:pPr>
            <w:pStyle w:val="Fuzeile"/>
          </w:pPr>
          <w:r>
            <w:t>Arbeitshilfe Gesamtprzess</w:t>
          </w:r>
          <w:r w:rsidR="003E78C8" w:rsidRPr="006738B3">
            <w:t xml:space="preserve"> Verhalten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3FCB" w14:textId="77777777" w:rsidR="00AC503A" w:rsidRDefault="00AC503A" w:rsidP="00D519E2">
      <w:r>
        <w:separator/>
      </w:r>
    </w:p>
  </w:footnote>
  <w:footnote w:type="continuationSeparator" w:id="0">
    <w:p w14:paraId="62D1A2B5" w14:textId="77777777" w:rsidR="00AC503A" w:rsidRDefault="00AC503A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0"/>
  </w:num>
  <w:num w:numId="5">
    <w:abstractNumId w:val="9"/>
  </w:num>
  <w:num w:numId="6">
    <w:abstractNumId w:val="6"/>
  </w:num>
  <w:num w:numId="7">
    <w:abstractNumId w:val="20"/>
  </w:num>
  <w:num w:numId="8">
    <w:abstractNumId w:val="4"/>
  </w:num>
  <w:num w:numId="9">
    <w:abstractNumId w:val="1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6"/>
  </w:num>
  <w:num w:numId="13">
    <w:abstractNumId w:val="24"/>
  </w:num>
  <w:num w:numId="14">
    <w:abstractNumId w:val="31"/>
  </w:num>
  <w:num w:numId="15">
    <w:abstractNumId w:val="28"/>
  </w:num>
  <w:num w:numId="16">
    <w:abstractNumId w:val="29"/>
  </w:num>
  <w:num w:numId="17">
    <w:abstractNumId w:val="34"/>
  </w:num>
  <w:num w:numId="18">
    <w:abstractNumId w:val="39"/>
  </w:num>
  <w:num w:numId="19">
    <w:abstractNumId w:val="38"/>
  </w:num>
  <w:num w:numId="20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>
    <w:abstractNumId w:val="18"/>
  </w:num>
  <w:num w:numId="22">
    <w:abstractNumId w:val="0"/>
  </w:num>
  <w:num w:numId="23">
    <w:abstractNumId w:val="33"/>
  </w:num>
  <w:num w:numId="24">
    <w:abstractNumId w:val="26"/>
  </w:num>
  <w:num w:numId="25">
    <w:abstractNumId w:val="3"/>
  </w:num>
  <w:num w:numId="26">
    <w:abstractNumId w:val="22"/>
  </w:num>
  <w:num w:numId="27">
    <w:abstractNumId w:val="8"/>
  </w:num>
  <w:num w:numId="28">
    <w:abstractNumId w:val="12"/>
  </w:num>
  <w:num w:numId="29">
    <w:abstractNumId w:val="37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1"/>
  </w:num>
  <w:num w:numId="35">
    <w:abstractNumId w:val="14"/>
  </w:num>
  <w:num w:numId="36">
    <w:abstractNumId w:val="13"/>
  </w:num>
  <w:num w:numId="37">
    <w:abstractNumId w:val="17"/>
  </w:num>
  <w:num w:numId="38">
    <w:abstractNumId w:val="35"/>
  </w:num>
  <w:num w:numId="39">
    <w:abstractNumId w:val="1"/>
  </w:num>
  <w:num w:numId="40">
    <w:abstractNumId w:val="27"/>
  </w:num>
  <w:num w:numId="41">
    <w:abstractNumId w:val="26"/>
  </w:num>
  <w:num w:numId="42">
    <w:abstractNumId w:val="40"/>
  </w:num>
  <w:num w:numId="43">
    <w:abstractNumId w:val="15"/>
  </w:num>
  <w:num w:numId="44">
    <w:abstractNumId w:val="2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6pTKjF6E8Smg+CC0VB+UiH4Y3jUNGxGQBjQrg4PA4EzblUmg3TbAZRRxffb4XluzHAhQBbNaD9mN1U9gX1YhA==" w:salt="+GpRmH6dRYDjOfNcGg4b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77159"/>
    <w:rsid w:val="000829C4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4051F"/>
    <w:rsid w:val="001551CF"/>
    <w:rsid w:val="00157B18"/>
    <w:rsid w:val="001631FB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80825"/>
    <w:rsid w:val="00281E67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2E85"/>
    <w:rsid w:val="00333D20"/>
    <w:rsid w:val="0033765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84D5A"/>
    <w:rsid w:val="00990EAD"/>
    <w:rsid w:val="00992B52"/>
    <w:rsid w:val="0099596B"/>
    <w:rsid w:val="009B157C"/>
    <w:rsid w:val="009C2768"/>
    <w:rsid w:val="009C4D9E"/>
    <w:rsid w:val="009E2DD4"/>
    <w:rsid w:val="009F3E03"/>
    <w:rsid w:val="00A142E4"/>
    <w:rsid w:val="00A16FE5"/>
    <w:rsid w:val="00A35E82"/>
    <w:rsid w:val="00A4419B"/>
    <w:rsid w:val="00A46A5A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519E2"/>
    <w:rsid w:val="00D5275E"/>
    <w:rsid w:val="00D908C5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3696</Words>
  <Characters>23292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103</cp:revision>
  <cp:lastPrinted>2021-07-09T08:12:00Z</cp:lastPrinted>
  <dcterms:created xsi:type="dcterms:W3CDTF">2021-07-08T14:26:00Z</dcterms:created>
  <dcterms:modified xsi:type="dcterms:W3CDTF">2022-02-08T08:48:00Z</dcterms:modified>
</cp:coreProperties>
</file>