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E56C68D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CA2D44">
        <w:t>Lautsprache (bei Deutsch als Erstsprache)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7974D012" w:rsidR="00F63F55" w:rsidRDefault="00F63F55" w:rsidP="00F63F55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03726BF7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77777777" w:rsidR="002E56BF" w:rsidRDefault="002E56BF" w:rsidP="002E56BF">
            <w:pPr>
              <w:pStyle w:val="Tabelleninhalt"/>
            </w:pPr>
            <w:r>
              <w:t>Aussprache (Phonetik-Phonologie)</w:t>
            </w:r>
          </w:p>
          <w:p w14:paraId="480B4F70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Laute der Zielsprache korrekt bilden (Aussprache aller Laute im Wort ohne Auslassungen, keine Lautersetzungen (z.B. Tanne statt Kanne))</w:t>
            </w:r>
          </w:p>
          <w:p w14:paraId="74F35E84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Silbenstrukturen korrekt bilden (keine Auslassung unbetonter Silben/einzelner Silben in längeren Wörtern)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77777777" w:rsidR="002E56BF" w:rsidRDefault="002E56BF" w:rsidP="002E56BF">
            <w:pPr>
              <w:pStyle w:val="Tabelleninhalt"/>
            </w:pPr>
            <w:r>
              <w:t>Wortschatz (Semantik/Lexikon)</w:t>
            </w:r>
          </w:p>
          <w:p w14:paraId="17CFB75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Umfang des Wortschatzes?</w:t>
            </w:r>
          </w:p>
          <w:p w14:paraId="16B83B2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 xml:space="preserve">Vielfältigen und ausdifferenzierten Wortschatz verwenden (z.B. unterschiedlicher Wortarten, Eigennamen, Pronomen, Modalverben, Funktionswörter (Adverbien, Konjunktionen, Präpositionen), Bildungssprache bzw. Fachsprache, ...) </w:t>
            </w:r>
          </w:p>
          <w:p w14:paraId="34C103E8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Semantische Kategorien verwenden (Ober- und Unterbegriffe, z.B. Lebensmittel → Gemüse, Obst, Fleisch, …)</w:t>
            </w:r>
          </w:p>
          <w:p w14:paraId="6BBFA77B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Korrekter Umgang mit semantischen Relationen wie Synonymen (z.B. Couch - Sofa) und Antonymen (z.B. heiß – kalt)</w:t>
            </w:r>
          </w:p>
          <w:p w14:paraId="32890F79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Derivationen (z.B. Ableitungen wie Sonne → sonnig) und Kompositionen (zusammengesetzte Wörter) verwenden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77777777" w:rsidR="002E56BF" w:rsidRDefault="002E56BF" w:rsidP="002E56BF">
            <w:pPr>
              <w:pStyle w:val="Tabelleninhalt"/>
            </w:pPr>
            <w:r>
              <w:t>Wortabruf</w:t>
            </w:r>
          </w:p>
          <w:p w14:paraId="1EBD88DA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Bekannte Wörter schnell abrufen</w:t>
            </w:r>
          </w:p>
          <w:p w14:paraId="6837D5BB" w14:textId="4C295E74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Abrufhilfen nutzen (semantische Abrufhilfen wie Umschreibungen und/oder phonologische Abrufhilfen wie Anlaut, Anfangssilbe)</w:t>
            </w:r>
          </w:p>
          <w:p w14:paraId="6A101485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Strategien im Umgang mit Wortschatzlücken und Wortabrufproblemen einsetzen (z.B. Metakommentare wie: „Das fällt mir nicht ein“, Umschreibungen, Nachfragen,...)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77777777" w:rsidR="002E56BF" w:rsidRDefault="002E56BF" w:rsidP="002E56BF">
            <w:pPr>
              <w:pStyle w:val="Tabelleninhalt"/>
            </w:pPr>
            <w:r>
              <w:lastRenderedPageBreak/>
              <w:t>Grammatik: Wortform</w:t>
            </w:r>
          </w:p>
          <w:p w14:paraId="7E40EBE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Verbflexion (Subjekt-Verb-Kongruenz) </w:t>
            </w:r>
          </w:p>
          <w:p w14:paraId="1BA67BA6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Partizipien korrekt bilden und verwenden (z.B. singend, gesungen)</w:t>
            </w:r>
          </w:p>
          <w:p w14:paraId="5CE23F7B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Plural korrekt bilden und verwenden</w:t>
            </w:r>
          </w:p>
          <w:p w14:paraId="6EAA4A0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Tempus (z.B. Präsens, Perfekt) korrekt bilden und verwenden</w:t>
            </w:r>
          </w:p>
          <w:p w14:paraId="15E670B8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</w:t>
            </w:r>
            <w:proofErr w:type="spellStart"/>
            <w:r>
              <w:t>Genusmarkierung</w:t>
            </w:r>
            <w:proofErr w:type="spellEnd"/>
            <w:r>
              <w:t xml:space="preserve"> (Artikel) </w:t>
            </w:r>
          </w:p>
          <w:p w14:paraId="447F00A9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Markierung des Kasus (z.B. „Ich nehme den Apfel“, „Ich spiele mit dem Hund“) </w:t>
            </w:r>
          </w:p>
          <w:p w14:paraId="5749279D" w14:textId="77777777" w:rsidR="002E56BF" w:rsidRDefault="002E56BF" w:rsidP="002E56BF">
            <w:pPr>
              <w:pStyle w:val="Tabelleninhalt"/>
            </w:pPr>
          </w:p>
          <w:p w14:paraId="2C81922B" w14:textId="77777777" w:rsidR="002E56BF" w:rsidRDefault="002E56BF" w:rsidP="002E56BF">
            <w:pPr>
              <w:pStyle w:val="Tabelleninhalt"/>
            </w:pPr>
            <w:r>
              <w:t xml:space="preserve">Grammatik: Satzstellung </w:t>
            </w:r>
          </w:p>
          <w:p w14:paraId="01D1573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1-Wort-Äußerungen produzieren</w:t>
            </w:r>
          </w:p>
          <w:p w14:paraId="570A7E9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2-Wort-Äußerungen (mit variabler Wortstellung) produzieren</w:t>
            </w:r>
          </w:p>
          <w:p w14:paraId="48A64802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des finiten Verbs an der richtigen Stelle im Satz (Verbzweitstellung im Hauptsatz)</w:t>
            </w:r>
          </w:p>
          <w:p w14:paraId="2E256293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Nebensätzen mit Verb in Finalstellung (z.B. „…, weil du gehst“)</w:t>
            </w:r>
          </w:p>
          <w:p w14:paraId="49647866" w14:textId="6964AB8C" w:rsidR="002E56BF" w:rsidRP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Passivsätzen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Sprachrezeption</w:t>
            </w:r>
          </w:p>
          <w:p w14:paraId="26E6CF53" w14:textId="77777777" w:rsidR="002E56BF" w:rsidRPr="005B1242" w:rsidRDefault="002E56BF" w:rsidP="002E56BF">
            <w:pPr>
              <w:pStyle w:val="Tabelleninhalt"/>
            </w:pPr>
            <w:r w:rsidRPr="005B1242">
              <w:t>Wortschatz</w:t>
            </w:r>
          </w:p>
          <w:p w14:paraId="7FAC778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Umfang des rezeptiven Wortschatzes</w:t>
            </w:r>
          </w:p>
          <w:p w14:paraId="16721764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Einzelwörtern (konkret und abstrakt) verstehen</w:t>
            </w:r>
          </w:p>
          <w:p w14:paraId="31F8045C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 xml:space="preserve">Verständnis unterschiedlicher Wortarten und Funktionswörter </w:t>
            </w:r>
          </w:p>
          <w:p w14:paraId="12CC1DA2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Verständnis unterschiedlicher Operatoren (z.B. erklären, vergleichen, benennen, präsentieren…)</w:t>
            </w:r>
          </w:p>
          <w:p w14:paraId="3B998C0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Fachsprache (z.B. mathematische Begriffe) verstehen</w:t>
            </w:r>
          </w:p>
          <w:p w14:paraId="0C9D7030" w14:textId="77777777" w:rsidR="002E56BF" w:rsidRPr="005B1242" w:rsidRDefault="002E56BF" w:rsidP="002E56BF">
            <w:pPr>
              <w:pStyle w:val="Tabelleninhalt"/>
              <w:rPr>
                <w:b/>
                <w:bCs/>
              </w:rPr>
            </w:pPr>
          </w:p>
          <w:p w14:paraId="0EE5A926" w14:textId="77777777" w:rsidR="002E56BF" w:rsidRPr="005B1242" w:rsidRDefault="002E56BF" w:rsidP="002E56BF">
            <w:pPr>
              <w:pStyle w:val="Tabelleninhalt"/>
            </w:pPr>
            <w:r w:rsidRPr="005B1242">
              <w:t>Grammatik</w:t>
            </w:r>
          </w:p>
          <w:p w14:paraId="1B96C3C4" w14:textId="43EB6740" w:rsidR="002E56BF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Hauptsätze verstehen</w:t>
            </w:r>
          </w:p>
          <w:p w14:paraId="40E198C0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Zusammengesetzte Aufforderungen (z.B. „Wirf den Ball weg und setz dir die Brille auf“) verstehen</w:t>
            </w:r>
          </w:p>
          <w:p w14:paraId="29ADCA41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lastRenderedPageBreak/>
              <w:t>Einfache Nebensätze (z.B. mit „weil“ oder „wenn“ eingeleitet) verstehen</w:t>
            </w:r>
          </w:p>
          <w:p w14:paraId="0B34E48D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Komplexe Nebensätze (z.B. Sätze mit „bevor“, „nachdem“, „obwohl“ eingeleitet) verstehen</w:t>
            </w:r>
          </w:p>
          <w:p w14:paraId="0730ACE6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Passivsätze verstehen</w:t>
            </w:r>
          </w:p>
          <w:p w14:paraId="7165A574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Anweisungen (z.B. mehrschrittige Arbeitsaufträge) verstehen</w:t>
            </w:r>
          </w:p>
          <w:p w14:paraId="2A3F5A7D" w14:textId="17E55D95" w:rsidR="002E56BF" w:rsidRPr="002E56BF" w:rsidRDefault="002E56BF" w:rsidP="002E56BF">
            <w:pPr>
              <w:pStyle w:val="Tabelleninhalt"/>
              <w:numPr>
                <w:ilvl w:val="0"/>
                <w:numId w:val="37"/>
              </w:numPr>
              <w:rPr>
                <w:b/>
                <w:bCs/>
              </w:rPr>
            </w:pPr>
            <w:proofErr w:type="spellStart"/>
            <w:r w:rsidRPr="005B1242">
              <w:t>Verstehensstrategien</w:t>
            </w:r>
            <w:proofErr w:type="spellEnd"/>
            <w:r w:rsidRPr="005B1242">
              <w:t xml:space="preserve"> nutzen (z.B. Schlüsselwortstrategie, Wortreihenfolgestrategie, Äußerungsreihenfolgestrategie, …)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06021BAF" w14:textId="77777777" w:rsidR="005B1242" w:rsidRPr="005B1242" w:rsidRDefault="005B1242" w:rsidP="005B1242">
            <w:pPr>
              <w:pStyle w:val="Tabelleninhalt"/>
            </w:pPr>
            <w:r w:rsidRPr="005B1242">
              <w:t>nonverbal</w:t>
            </w:r>
          </w:p>
          <w:p w14:paraId="19ECCBF0" w14:textId="5C24C8B1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Blickkontakt aufnehmen und halten</w:t>
            </w:r>
          </w:p>
          <w:p w14:paraId="2C5874FB" w14:textId="099939B6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Nonverbale Äußerung verstehen (z.B. Mimik, Gestik, Körpersprache,...) </w:t>
            </w:r>
          </w:p>
          <w:p w14:paraId="588C7CE6" w14:textId="15D9BC3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Aufmerksam Zuhören</w:t>
            </w:r>
          </w:p>
          <w:p w14:paraId="20A07AD8" w14:textId="398E1FAF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Prosodischer Elemente (z.B. Frageintonation) des Kommunikationspartners verstehen und korrekt interpretieren</w:t>
            </w:r>
          </w:p>
          <w:p w14:paraId="47956A8A" w14:textId="041B4C5D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Die Voraussetzungen des Kommunikationspartners berücksichtigen (z.B. bzgl. der aktuellen emotionalen Verfassung) </w:t>
            </w:r>
          </w:p>
          <w:p w14:paraId="4A250134" w14:textId="7D63D4CB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Soziale Rollen und Situationszusammenhänge erkennen</w:t>
            </w:r>
          </w:p>
          <w:p w14:paraId="08AC1644" w14:textId="3BE18FEE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Ironie/Witz, Metaphern verstehen</w:t>
            </w:r>
          </w:p>
          <w:p w14:paraId="4CDED12B" w14:textId="77777777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</w:p>
          <w:p w14:paraId="1B0B4DBE" w14:textId="77777777" w:rsidR="005B1242" w:rsidRPr="005B1242" w:rsidRDefault="005B1242" w:rsidP="005B1242">
            <w:pPr>
              <w:pStyle w:val="Tabelleninhalt"/>
            </w:pPr>
            <w:r w:rsidRPr="005B1242">
              <w:t>verbal</w:t>
            </w:r>
          </w:p>
          <w:p w14:paraId="1BB233D0" w14:textId="580895B9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Sprecherwechsel (mittels Pausen, Blicken, Prosodie) einhalten</w:t>
            </w:r>
          </w:p>
          <w:p w14:paraId="1E7A7879" w14:textId="2213773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Vorhandenen Wortschatz situationsangemessen nutzen</w:t>
            </w:r>
          </w:p>
          <w:p w14:paraId="5B6C7F7D" w14:textId="0A5DD2F4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Differenzierten Wortschatz verwenden (z.B. „Der Hausmeister war da.“ statt „Da war so ein Mann da.“)</w:t>
            </w:r>
          </w:p>
          <w:p w14:paraId="6C63CDD3" w14:textId="50ACF4A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Referenzbezügen durch Sprache herstellen (z.B. „der Junge da drüben an der Tür“)</w:t>
            </w:r>
          </w:p>
          <w:p w14:paraId="4BDC1BAD" w14:textId="1C66726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lastRenderedPageBreak/>
              <w:t>Paarsequenzen einleiten (z.B. Gruß-Gegengruß, Frage-Antwort) und auf Paarsequenzen reagieren</w:t>
            </w:r>
          </w:p>
          <w:p w14:paraId="561E97C9" w14:textId="2140C92B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Kommunikationspartner auf Nichtverstehen hinweisen (z.B. „Ich habe dich nicht verstanden“)</w:t>
            </w:r>
          </w:p>
          <w:p w14:paraId="6EB1CEFC" w14:textId="4D723CF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Dem Kommunikationspartner die Gründe des Nichtverstehens erläutern (z.B. „Ich habe dich nicht verstanden, weil du zu leise gesprochen hast!“)</w:t>
            </w:r>
          </w:p>
          <w:p w14:paraId="365E9900" w14:textId="329A322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Gezieltes Nachfragen (z.B. bei unbekannten Wörtern, bei weitergehendem Interesse,...)</w:t>
            </w:r>
          </w:p>
          <w:p w14:paraId="66206DCA" w14:textId="60834BF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Angemessenes Nutzen prosodischer Elemente (z.B. Intonation, Pausen)</w:t>
            </w:r>
          </w:p>
          <w:p w14:paraId="0520C197" w14:textId="2805893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Verschiedener Arten von Sprechakten verwenden (z.B. Bitten, Entschuldigungen, Behauptungen, Feststellungen) und angemessen auf verschiedene Sprechakte reagieren</w:t>
            </w:r>
          </w:p>
          <w:p w14:paraId="54AF8436" w14:textId="776CBD18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Gedanken und Ideen sprachlich ausdrücken</w:t>
            </w:r>
          </w:p>
          <w:p w14:paraId="6C6FFAF5" w14:textId="219F269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Bedürfnisse und Empfindungen sprachlich ausdrücken</w:t>
            </w:r>
          </w:p>
          <w:p w14:paraId="1EFB8610" w14:textId="71979BC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Gesprächskonventionen einhalten (z.B. Ausreden-Lassen)</w:t>
            </w:r>
          </w:p>
          <w:p w14:paraId="3252CD6F" w14:textId="603F50D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eigenen Redeanteils angemessen gestalten (z.B. Länge der Redebeiträge, Informationsgehalt)</w:t>
            </w:r>
          </w:p>
          <w:p w14:paraId="2D9FE8F4" w14:textId="780C5F21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Die Voraussetzungen des Kommunikationspartners berücksichtigen (z.B. bzgl. des Sprachverständnissen bei Deutsch als Zweitsprache oder bzgl.</w:t>
            </w:r>
            <w:r w:rsidRPr="005B1242">
              <w:rPr>
                <w:b/>
                <w:bCs/>
              </w:rPr>
              <w:t xml:space="preserve"> </w:t>
            </w:r>
            <w:r w:rsidRPr="005B1242">
              <w:t>des Vorwissens zu einem Thema)</w:t>
            </w:r>
          </w:p>
          <w:p w14:paraId="6AB89302" w14:textId="304AF35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Fragen differenziert beantworten (nicht floskelhaft/keine Wiederholungen)</w:t>
            </w:r>
          </w:p>
          <w:p w14:paraId="18113212" w14:textId="30BA183B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5B1242">
              <w:t>Ironie/Witz und Metaphern verwenden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Mit anderen Kindern im Rahmen von Rollen-, Regel- und Kooperationsspielen kommunizieren</w:t>
            </w:r>
          </w:p>
          <w:p w14:paraId="15FEDF34" w14:textId="1BC5ED4E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 w:rsidP="00B65D18">
            <w:pPr>
              <w:pStyle w:val="Listenabsatz"/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19C003B3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der Stimme</w:t>
            </w:r>
          </w:p>
          <w:p w14:paraId="765AB52D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 xml:space="preserve">Die Phonetik betreffende Funktionen (korrekte Lautbildung): Vokale, Diphthonge (ei, au, </w:t>
            </w:r>
            <w:proofErr w:type="spellStart"/>
            <w:r>
              <w:t>eu</w:t>
            </w:r>
            <w:proofErr w:type="spellEnd"/>
            <w:r>
              <w:t xml:space="preserve">), Umlaute (ä, </w:t>
            </w:r>
            <w:r>
              <w:lastRenderedPageBreak/>
              <w:t>ö, ü), Frikative,  Plosive, Velare Laute, Nasale Laute</w:t>
            </w:r>
          </w:p>
          <w:p w14:paraId="69CAEDF2" w14:textId="10E586AC" w:rsidR="00983406" w:rsidRPr="00EE4FB5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des Redeflusses und der Sprechrhythmus (flüssiges Sprechen in angemessener Geschwindigkeit, Einhalten von Betonungsmustern und Sprechmelodie, Nutzen prosodischer Elemente/rhythmische Gliederung der eigenen Äußerungen)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1F79AB74" w14:textId="77777777" w:rsidR="002E56BF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 und schulischen Kontext?</w:t>
            </w:r>
          </w:p>
          <w:p w14:paraId="19B3331F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0ABCE5A9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sprach- bzw. kommunikationsfördernde Angebote (z.B. Logopädie)?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557F3F8F" w14:textId="5C2633FA" w:rsidR="0052794B" w:rsidRPr="00EE4FB5" w:rsidRDefault="002E56BF" w:rsidP="00E47F40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color w:val="auto"/>
              </w:rPr>
              <w:t xml:space="preserve">Ist es dem Umfeld (Eltern, Schule, </w:t>
            </w:r>
            <w:proofErr w:type="spellStart"/>
            <w:r w:rsidRPr="00E857EA">
              <w:rPr>
                <w:color w:val="auto"/>
              </w:rPr>
              <w:t>Kiga</w:t>
            </w:r>
            <w:proofErr w:type="spellEnd"/>
            <w:r w:rsidRPr="00E857EA">
              <w:rPr>
                <w:color w:val="auto"/>
              </w:rPr>
              <w:t>,…) wichtig, dass das Kind aus lebensbedeutsamen Kontexten erzählt und ausreichend kommuniziert?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Kommunikationsabsichten des Kindes erkannt?</w:t>
            </w:r>
          </w:p>
          <w:p w14:paraId="251E3E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Ist das Kommunikationstempo angemessen?</w:t>
            </w:r>
          </w:p>
          <w:p w14:paraId="144292A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Wird dem Kind für Mitteilungen/Kommunikation ausreichend Zeit gegeben?</w:t>
            </w:r>
          </w:p>
          <w:p w14:paraId="590073D2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Finden Interaktions- und Sprachspiele statt</w:t>
            </w:r>
            <w:r>
              <w:rPr>
                <w:rFonts w:ascii="Arial" w:hAnsi="Arial" w:cs="Arial"/>
                <w:bCs/>
                <w:color w:val="000000" w:themeColor="text1"/>
              </w:rPr>
              <w:t>?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681BC1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Werden dialogische Alltagsroutinen (Turn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proofErr w:type="spellStart"/>
            <w:r w:rsidRPr="00E857EA">
              <w:rPr>
                <w:rFonts w:ascii="Arial" w:hAnsi="Arial" w:cs="Arial"/>
                <w:bCs/>
                <w:color w:val="000000" w:themeColor="text1"/>
              </w:rPr>
              <w:t>taking</w:t>
            </w:r>
            <w:proofErr w:type="spellEnd"/>
            <w:r w:rsidRPr="00E857EA">
              <w:rPr>
                <w:rFonts w:ascii="Arial" w:hAnsi="Arial" w:cs="Arial"/>
                <w:bCs/>
                <w:color w:val="000000" w:themeColor="text1"/>
              </w:rPr>
              <w:t>) eingesetzt (z.B. im Rahmen einer Bilderbuchbetrachtung)?</w:t>
            </w:r>
          </w:p>
          <w:p w14:paraId="11FD74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Findet die Kommunikation dialogisch statt (z.B. Eltern-Kind-Dyaden)?</w:t>
            </w:r>
          </w:p>
          <w:p w14:paraId="435D1EF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 w:rsidRPr="00E857EA">
              <w:rPr>
                <w:rFonts w:ascii="Arial" w:hAnsi="Arial" w:cs="Arial"/>
                <w:color w:val="000000" w:themeColor="text1"/>
              </w:rPr>
              <w:t>das Kind z.B. in Entscheidungsprozesse sprachlich miteinbezogen?</w:t>
            </w:r>
          </w:p>
          <w:p w14:paraId="667983D7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 xml:space="preserve">Ermöglicht das Umfeld durch den sprachlichen Input, dass das Kind selbst sprachlich aktiv werden kann / werden aktive Kommunikationsanteile des Kindes </w:t>
            </w:r>
            <w:r w:rsidRPr="00E857EA">
              <w:rPr>
                <w:rFonts w:ascii="Arial" w:hAnsi="Arial" w:cs="Arial"/>
              </w:rPr>
              <w:t>ermöglicht?</w:t>
            </w:r>
          </w:p>
          <w:p w14:paraId="5EC3C7BD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Wird handlungsbegleitendes Sprechen eingesetzt?</w:t>
            </w:r>
          </w:p>
          <w:p w14:paraId="512CB82A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Gibt es spezifische Angebote zu Pragmatik, Wortschatz, Sprachverständnis, Grammatik?</w:t>
            </w:r>
          </w:p>
          <w:p w14:paraId="3BA1F981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4FED8E59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paralinguistische Unterstützungssysteme (Mimik, Gestik...) eingesetzt?</w:t>
            </w:r>
          </w:p>
          <w:p w14:paraId="677AC6EB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Welche Sprech- und Kommunikationsanlässe gibt es (z.B. Murmelphasen, Rechenkonferenzen / Einsatz von offenen Fragen/W-Fragen / Nachfragen…)?</w:t>
            </w:r>
          </w:p>
          <w:p w14:paraId="6C2E165C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>
              <w:rPr>
                <w:rFonts w:ascii="Arial" w:hAnsi="Arial" w:cs="Arial"/>
              </w:rPr>
              <w:t xml:space="preserve">korrektives </w:t>
            </w:r>
            <w:r w:rsidRPr="00E857EA">
              <w:rPr>
                <w:rFonts w:ascii="Arial" w:hAnsi="Arial" w:cs="Arial"/>
              </w:rPr>
              <w:t>Feedback eingesetzt?</w:t>
            </w:r>
          </w:p>
          <w:p w14:paraId="3F1CC454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Orientieren sich die Bezugspersonen in ihrem Sprachangebot an den Lernvoraussetzungen des Kindes?</w:t>
            </w:r>
          </w:p>
          <w:p w14:paraId="4DA49C9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Praktizieren die </w:t>
            </w:r>
            <w:r>
              <w:rPr>
                <w:rFonts w:ascii="Arial" w:hAnsi="Arial" w:cs="Arial"/>
              </w:rPr>
              <w:t>Bezugspersonen des Kindes</w:t>
            </w:r>
            <w:r w:rsidRPr="00E857EA">
              <w:rPr>
                <w:rFonts w:ascii="Arial" w:hAnsi="Arial" w:cs="Arial"/>
              </w:rPr>
              <w:t xml:space="preserve"> aktives Zuhören?</w:t>
            </w:r>
          </w:p>
          <w:p w14:paraId="3F17162E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Wurden Gesprächsregeln eingeführt und werden diese umgesetzt?</w:t>
            </w:r>
          </w:p>
          <w:p w14:paraId="73BAC2B1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Möglichkeiten zur Reflexion über Kommunikation (z.B. nach Konflikten?)</w:t>
            </w:r>
          </w:p>
          <w:p w14:paraId="4ADA1E03" w14:textId="5ECBF44A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bCs/>
                <w:color w:val="auto"/>
              </w:rPr>
              <w:t xml:space="preserve">Fühlen sich die Beteiligten im Umfeld (z.B. in der Familie) </w:t>
            </w:r>
            <w:r w:rsidRPr="00E857EA">
              <w:rPr>
                <w:color w:val="auto"/>
              </w:rPr>
              <w:t>in kommunikativen Settings sicher? Besteht ein natürliches Kommunikationsverhalten?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3A913D" w:rsidR="00066ACB" w:rsidRPr="00EE4FB5" w:rsidRDefault="002E56BF" w:rsidP="008F3B3A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rFonts w:eastAsiaTheme="minorHAnsi"/>
              </w:rPr>
              <w:t xml:space="preserve">Werden technische Hilfsmittel genutzt wie z.B. Sehhilfen, Hörtechnik, </w:t>
            </w:r>
            <w:proofErr w:type="spellStart"/>
            <w:r w:rsidRPr="00E857EA">
              <w:rPr>
                <w:rFonts w:eastAsiaTheme="minorHAnsi"/>
              </w:rPr>
              <w:t>Hilfsmitttel</w:t>
            </w:r>
            <w:proofErr w:type="spellEnd"/>
            <w:r w:rsidRPr="00E857EA">
              <w:rPr>
                <w:rFonts w:eastAsiaTheme="minorHAnsi"/>
              </w:rPr>
              <w:t xml:space="preserve"> zur Mobilität, </w:t>
            </w:r>
            <w:proofErr w:type="spellStart"/>
            <w:r w:rsidRPr="00E857EA">
              <w:rPr>
                <w:rFonts w:eastAsiaTheme="minorHAnsi"/>
              </w:rPr>
              <w:t>Talker</w:t>
            </w:r>
            <w:proofErr w:type="spellEnd"/>
            <w:r w:rsidRPr="00E857EA">
              <w:rPr>
                <w:rFonts w:eastAsiaTheme="minorHAnsi"/>
              </w:rPr>
              <w:t xml:space="preserve">, </w:t>
            </w:r>
            <w:proofErr w:type="spellStart"/>
            <w:r w:rsidRPr="00E857EA">
              <w:rPr>
                <w:rFonts w:eastAsiaTheme="minorHAnsi"/>
              </w:rPr>
              <w:t>Ipad</w:t>
            </w:r>
            <w:proofErr w:type="spellEnd"/>
            <w:r w:rsidRPr="00E857EA">
              <w:rPr>
                <w:rFonts w:eastAsiaTheme="minorHAnsi"/>
              </w:rPr>
              <w:t>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lastRenderedPageBreak/>
        <w:t>Hypothesen</w:t>
      </w:r>
    </w:p>
    <w:p w14:paraId="69413C2E" w14:textId="315E3BF7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9B098F">
        <w:t>beim Operieren mit Zahlen</w:t>
      </w:r>
      <w:r w:rsidR="00CB685A">
        <w:t xml:space="preserve">, bestehen (vgl. Hypothesenbildung </w:t>
      </w:r>
      <w:hyperlink r:id="rId12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2B82F13D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97FF" w14:textId="77777777" w:rsidR="00D55CA3" w:rsidRDefault="00D55CA3" w:rsidP="00D519E2">
      <w:r>
        <w:separator/>
      </w:r>
    </w:p>
  </w:endnote>
  <w:endnote w:type="continuationSeparator" w:id="0">
    <w:p w14:paraId="35FE5D22" w14:textId="77777777" w:rsidR="00D55CA3" w:rsidRDefault="00D55CA3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55CA24EF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2E56BF">
            <w:t>Lautsprache (bei Deutsch als Ersts</w:t>
          </w:r>
          <w:r w:rsidR="004606FA">
            <w:t>prache)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5A6B75C3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2E56BF">
            <w:t>Lautsprache</w:t>
          </w:r>
          <w:r w:rsidR="004606FA">
            <w:t xml:space="preserve"> (bei Deutsch als Erstsprache)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2952" w14:textId="77777777" w:rsidR="00D55CA3" w:rsidRDefault="00D55CA3" w:rsidP="00D519E2">
      <w:r>
        <w:separator/>
      </w:r>
    </w:p>
  </w:footnote>
  <w:footnote w:type="continuationSeparator" w:id="0">
    <w:p w14:paraId="140ABD15" w14:textId="77777777" w:rsidR="00D55CA3" w:rsidRDefault="00D55CA3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3B2CF7AB" w:rsidR="003E174D" w:rsidRPr="009053F2" w:rsidRDefault="00716702" w:rsidP="000031CE">
          <w:pPr>
            <w:pStyle w:val="Kopfzeile"/>
          </w:pPr>
          <w:r>
            <w:t>Lautsprache (bei Deutsch als Erstsprache)</w:t>
          </w:r>
        </w:p>
        <w:p w14:paraId="6B4CBF30" w14:textId="4E7AA8ED" w:rsidR="000031CE" w:rsidRDefault="000031CE" w:rsidP="000031CE">
          <w:pPr>
            <w:pStyle w:val="Kopfzeile"/>
          </w:pPr>
          <w:r>
            <w:t xml:space="preserve">Autoren: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639A70C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8D4C1F">
            <w:t>Lautsprache (bei Deutsch als Erstsprache)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44F"/>
    <w:multiLevelType w:val="hybridMultilevel"/>
    <w:tmpl w:val="26A2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6163A"/>
    <w:multiLevelType w:val="hybridMultilevel"/>
    <w:tmpl w:val="E2C0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E0747"/>
    <w:multiLevelType w:val="hybridMultilevel"/>
    <w:tmpl w:val="E07C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BD2"/>
    <w:multiLevelType w:val="hybridMultilevel"/>
    <w:tmpl w:val="0FF81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35C8"/>
    <w:multiLevelType w:val="hybridMultilevel"/>
    <w:tmpl w:val="D960C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191C48"/>
    <w:multiLevelType w:val="hybridMultilevel"/>
    <w:tmpl w:val="3EBC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C7E1B"/>
    <w:multiLevelType w:val="hybridMultilevel"/>
    <w:tmpl w:val="618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F56D1"/>
    <w:multiLevelType w:val="hybridMultilevel"/>
    <w:tmpl w:val="AF9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36"/>
  </w:num>
  <w:num w:numId="2" w16cid:durableId="89278188">
    <w:abstractNumId w:val="15"/>
  </w:num>
  <w:num w:numId="3" w16cid:durableId="1646470356">
    <w:abstractNumId w:val="26"/>
  </w:num>
  <w:num w:numId="4" w16cid:durableId="1398938277">
    <w:abstractNumId w:val="32"/>
  </w:num>
  <w:num w:numId="5" w16cid:durableId="239339570">
    <w:abstractNumId w:val="0"/>
  </w:num>
  <w:num w:numId="6" w16cid:durableId="1201286327">
    <w:abstractNumId w:val="33"/>
  </w:num>
  <w:num w:numId="7" w16cid:durableId="410780192">
    <w:abstractNumId w:val="7"/>
  </w:num>
  <w:num w:numId="8" w16cid:durableId="2005743678">
    <w:abstractNumId w:val="29"/>
  </w:num>
  <w:num w:numId="9" w16cid:durableId="1866408997">
    <w:abstractNumId w:val="14"/>
  </w:num>
  <w:num w:numId="10" w16cid:durableId="1999576702">
    <w:abstractNumId w:val="42"/>
  </w:num>
  <w:num w:numId="11" w16cid:durableId="858079969">
    <w:abstractNumId w:val="37"/>
  </w:num>
  <w:num w:numId="12" w16cid:durableId="2140029142">
    <w:abstractNumId w:val="13"/>
  </w:num>
  <w:num w:numId="13" w16cid:durableId="1611352817">
    <w:abstractNumId w:val="10"/>
  </w:num>
  <w:num w:numId="14" w16cid:durableId="1930848534">
    <w:abstractNumId w:val="6"/>
  </w:num>
  <w:num w:numId="15" w16cid:durableId="845706382">
    <w:abstractNumId w:val="20"/>
  </w:num>
  <w:num w:numId="16" w16cid:durableId="87312328">
    <w:abstractNumId w:val="23"/>
  </w:num>
  <w:num w:numId="17" w16cid:durableId="2060519560">
    <w:abstractNumId w:val="1"/>
  </w:num>
  <w:num w:numId="18" w16cid:durableId="1586451917">
    <w:abstractNumId w:val="9"/>
  </w:num>
  <w:num w:numId="19" w16cid:durableId="354506619">
    <w:abstractNumId w:val="22"/>
  </w:num>
  <w:num w:numId="20" w16cid:durableId="1575773540">
    <w:abstractNumId w:val="24"/>
  </w:num>
  <w:num w:numId="21" w16cid:durableId="11152112">
    <w:abstractNumId w:val="2"/>
  </w:num>
  <w:num w:numId="22" w16cid:durableId="921840511">
    <w:abstractNumId w:val="40"/>
  </w:num>
  <w:num w:numId="23" w16cid:durableId="354238490">
    <w:abstractNumId w:val="8"/>
  </w:num>
  <w:num w:numId="24" w16cid:durableId="650450696">
    <w:abstractNumId w:val="11"/>
  </w:num>
  <w:num w:numId="25" w16cid:durableId="20401941">
    <w:abstractNumId w:val="17"/>
  </w:num>
  <w:num w:numId="26" w16cid:durableId="4478368">
    <w:abstractNumId w:val="18"/>
  </w:num>
  <w:num w:numId="27" w16cid:durableId="593049873">
    <w:abstractNumId w:val="12"/>
  </w:num>
  <w:num w:numId="28" w16cid:durableId="1611552407">
    <w:abstractNumId w:val="21"/>
  </w:num>
  <w:num w:numId="29" w16cid:durableId="1059282083">
    <w:abstractNumId w:val="5"/>
  </w:num>
  <w:num w:numId="30" w16cid:durableId="1984233909">
    <w:abstractNumId w:val="30"/>
  </w:num>
  <w:num w:numId="31" w16cid:durableId="932082811">
    <w:abstractNumId w:val="34"/>
  </w:num>
  <w:num w:numId="32" w16cid:durableId="1866209743">
    <w:abstractNumId w:val="27"/>
  </w:num>
  <w:num w:numId="33" w16cid:durableId="1598055789">
    <w:abstractNumId w:val="31"/>
  </w:num>
  <w:num w:numId="34" w16cid:durableId="1958755337">
    <w:abstractNumId w:val="38"/>
  </w:num>
  <w:num w:numId="35" w16cid:durableId="1875148464">
    <w:abstractNumId w:val="4"/>
  </w:num>
  <w:num w:numId="36" w16cid:durableId="2036492828">
    <w:abstractNumId w:val="41"/>
  </w:num>
  <w:num w:numId="37" w16cid:durableId="91442218">
    <w:abstractNumId w:val="16"/>
  </w:num>
  <w:num w:numId="38" w16cid:durableId="1965112930">
    <w:abstractNumId w:val="3"/>
  </w:num>
  <w:num w:numId="39" w16cid:durableId="66928283">
    <w:abstractNumId w:val="39"/>
  </w:num>
  <w:num w:numId="40" w16cid:durableId="1046249202">
    <w:abstractNumId w:val="25"/>
  </w:num>
  <w:num w:numId="41" w16cid:durableId="1402679066">
    <w:abstractNumId w:val="35"/>
  </w:num>
  <w:num w:numId="42" w16cid:durableId="887300290">
    <w:abstractNumId w:val="19"/>
  </w:num>
  <w:num w:numId="43" w16cid:durableId="194310332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AELag2FXh1yn/EZsBgzTdikwZwVt3KWZeSFqUY3GAxkc0f6OPeRg6uP02IaLqV6B3wGsJEKhdhkOGavMQgw1w==" w:salt="I10UEVjo1wjbpNHx2rCH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kommunik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kommunikation: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1556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16</cp:revision>
  <cp:lastPrinted>2022-02-02T08:41:00Z</cp:lastPrinted>
  <dcterms:created xsi:type="dcterms:W3CDTF">2022-09-26T08:23:00Z</dcterms:created>
  <dcterms:modified xsi:type="dcterms:W3CDTF">2022-09-30T08:03:00Z</dcterms:modified>
</cp:coreProperties>
</file>